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6"/>
        <w:ind w:left="0"/>
        <w:tabs>
          <w:tab w:val="left" w:pos="-142" w:leader="none"/>
          <w:tab w:val="left" w:pos="7371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</w:t>
        <w:tab/>
        <w:tab/>
        <w:tab/>
        <w:t xml:space="preserve">  </w:t>
      </w:r>
      <w:r>
        <w:rPr>
          <w:b/>
          <w:bCs/>
          <w:sz w:val="28"/>
          <w:szCs w:val="28"/>
        </w:rPr>
        <w:t xml:space="preserve">             </w:t>
      </w:r>
      <w:r>
        <w:rPr>
          <w:b/>
          <w:bCs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2026-2027</w:t>
      </w:r>
      <w:r>
        <w:rPr>
          <w:sz w:val="28"/>
          <w:szCs w:val="28"/>
        </w:rPr>
      </w:r>
      <w:r/>
    </w:p>
    <w:p>
      <w:pPr>
        <w:pStyle w:val="839"/>
        <w:numPr>
          <w:ilvl w:val="6"/>
          <w:numId w:val="11"/>
        </w:numPr>
        <w:ind w:left="-142"/>
        <w:keepNext/>
        <w:spacing w:before="0" w:after="0"/>
        <w:tabs>
          <w:tab w:val="left" w:pos="-14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RENNES</w:t>
      </w:r>
      <w:r>
        <w:rPr>
          <w:sz w:val="28"/>
          <w:szCs w:val="28"/>
        </w:rPr>
      </w:r>
      <w:r/>
    </w:p>
    <w:p>
      <w:pPr>
        <w:pStyle w:val="832"/>
        <w:ind w:left="-709"/>
        <w:rPr>
          <w:sz w:val="28"/>
        </w:rPr>
      </w:pPr>
      <w:r>
        <w:rPr>
          <w:sz w:val="28"/>
        </w:rPr>
      </w:r>
      <w:r/>
    </w:p>
    <w:p>
      <w:pPr>
        <w:pStyle w:val="832"/>
        <w:ind w:left="-709"/>
        <w:rPr>
          <w:b/>
          <w:sz w:val="28"/>
        </w:rPr>
      </w:pPr>
      <w:r>
        <w:rPr>
          <w:b/>
          <w:sz w:val="28"/>
        </w:rPr>
      </w:r>
      <w:r/>
    </w:p>
    <w:p>
      <w:pPr>
        <w:pStyle w:val="832"/>
        <w:ind w:left="-709"/>
        <w:rPr>
          <w:b/>
          <w:sz w:val="28"/>
        </w:rPr>
      </w:pPr>
      <w:r>
        <w:rPr>
          <w:b/>
          <w:sz w:val="28"/>
        </w:rPr>
      </w:r>
      <w:r/>
    </w:p>
    <w:p>
      <w:pPr>
        <w:pStyle w:val="833"/>
        <w:numPr>
          <w:ilvl w:val="0"/>
          <w:numId w:val="11"/>
        </w:numPr>
        <w:ind w:left="-426"/>
        <w:tabs>
          <w:tab w:val="left" w:pos="-426" w:leader="none"/>
        </w:tabs>
      </w:pPr>
      <w:r>
        <w:rPr>
          <w:sz w:val="28"/>
          <w:szCs w:val="28"/>
        </w:rPr>
        <w:t xml:space="preserve">    </w:t>
      </w:r>
      <w:r>
        <w:rPr>
          <w:sz w:val="32"/>
          <w:szCs w:val="32"/>
        </w:rPr>
        <w:t xml:space="preserve"> CLASSES DE TECHNICIENS SUPERIEURS </w:t>
      </w:r>
      <w:r/>
    </w:p>
    <w:p>
      <w:pPr>
        <w:pStyle w:val="832"/>
        <w:ind w:left="-426"/>
        <w:jc w:val="center"/>
        <w:rPr>
          <w:b/>
          <w:sz w:val="28"/>
        </w:rPr>
      </w:pPr>
      <w:r>
        <w:rPr>
          <w:b/>
          <w:sz w:val="28"/>
        </w:rPr>
      </w:r>
      <w:r/>
    </w:p>
    <w:p>
      <w:pPr>
        <w:pStyle w:val="840"/>
        <w:numPr>
          <w:ilvl w:val="7"/>
          <w:numId w:val="11"/>
        </w:numPr>
        <w:tabs>
          <w:tab w:val="left" w:pos="0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</w:rPr>
        <w:t xml:space="preserve">Support à l’Action Managériale –</w:t>
      </w:r>
      <w:r>
        <w:rPr>
          <w:color w:val="000000"/>
          <w:sz w:val="28"/>
          <w:szCs w:val="28"/>
        </w:rPr>
        <w:t xml:space="preserve"> 2</w:t>
      </w:r>
      <w:r>
        <w:rPr>
          <w:color w:val="000000"/>
          <w:sz w:val="28"/>
          <w:szCs w:val="28"/>
          <w:vertAlign w:val="superscript"/>
        </w:rPr>
        <w:t xml:space="preserve">e</w:t>
      </w:r>
      <w:r>
        <w:rPr>
          <w:color w:val="000000"/>
          <w:sz w:val="28"/>
          <w:szCs w:val="28"/>
        </w:rPr>
        <w:t xml:space="preserve"> année</w:t>
      </w:r>
      <w:r>
        <w:rPr>
          <w:color w:val="000000"/>
          <w:sz w:val="28"/>
        </w:rPr>
        <w:t xml:space="preserve"> (SAM)</w:t>
      </w:r>
      <w:r>
        <w:rPr>
          <w:color w:val="000000"/>
          <w:sz w:val="28"/>
          <w:szCs w:val="28"/>
        </w:rPr>
      </w:r>
      <w:r/>
    </w:p>
    <w:p>
      <w:pPr>
        <w:ind w:left="-709"/>
        <w:jc w:val="center"/>
        <w:rPr>
          <w:sz w:val="28"/>
          <w:szCs w:val="28"/>
        </w:rPr>
      </w:pPr>
      <w:r>
        <w:rPr>
          <w:sz w:val="28"/>
        </w:rPr>
      </w:r>
      <w:r>
        <w:rPr>
          <w:sz w:val="28"/>
        </w:rPr>
      </w:r>
      <w:r/>
    </w:p>
    <w:p>
      <w:pPr>
        <w:pStyle w:val="832"/>
        <w:ind w:left="-709"/>
        <w:jc w:val="center"/>
        <w:rPr>
          <w:sz w:val="28"/>
          <w:szCs w:val="28"/>
        </w:rPr>
      </w:pPr>
      <w:r>
        <w:rPr>
          <w:sz w:val="28"/>
        </w:rPr>
      </w:r>
      <w:r/>
    </w:p>
    <w:p>
      <w:pPr>
        <w:pStyle w:val="832"/>
        <w:ind w:left="-709"/>
        <w:jc w:val="center"/>
        <w:rPr>
          <w:sz w:val="12"/>
        </w:rPr>
      </w:pPr>
      <w:r>
        <w:rPr>
          <w:sz w:val="12"/>
        </w:rPr>
      </w:r>
      <w:r/>
    </w:p>
    <w:tbl>
      <w:tblPr>
        <w:tblW w:w="11355" w:type="dxa"/>
        <w:jc w:val="center"/>
        <w:tblInd w:w="0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447"/>
        <w:gridCol w:w="3261"/>
        <w:gridCol w:w="1559"/>
        <w:gridCol w:w="850"/>
        <w:gridCol w:w="1759"/>
        <w:gridCol w:w="1479"/>
      </w:tblGrid>
      <w:tr>
        <w:trPr/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447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b/>
                <w:lang w:eastAsia="ar-SA"/>
              </w:rPr>
            </w:pPr>
            <w:r>
              <w:rPr>
                <w:b/>
              </w:rPr>
              <w:t xml:space="preserve">MATIERES</w:t>
            </w:r>
            <w:r>
              <w:rPr>
                <w:b/>
                <w:lang w:eastAsia="ar-SA"/>
              </w:rPr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b/>
                <w:lang w:eastAsia="ar-SA"/>
              </w:rPr>
            </w:pPr>
            <w:r>
              <w:rPr>
                <w:b/>
              </w:rPr>
              <w:t xml:space="preserve">TITRE DE L’OUVRAGE</w:t>
            </w:r>
            <w:r>
              <w:rPr>
                <w:b/>
                <w:lang w:eastAsia="ar-SA"/>
              </w:rPr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b/>
                <w:lang w:eastAsia="ar-SA"/>
              </w:rPr>
            </w:pPr>
            <w:r>
              <w:rPr>
                <w:b/>
              </w:rPr>
              <w:t xml:space="preserve">AUTEURS</w:t>
            </w:r>
            <w:r>
              <w:rPr>
                <w:b/>
                <w:lang w:eastAsia="ar-SA"/>
              </w:rPr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b/>
                <w:lang w:eastAsia="ar-SA"/>
              </w:rPr>
            </w:pPr>
            <w:r>
              <w:rPr>
                <w:b/>
              </w:rPr>
              <w:t xml:space="preserve">ANNEE</w:t>
            </w:r>
            <w:r>
              <w:rPr>
                <w:b/>
                <w:lang w:eastAsia="ar-SA"/>
              </w:rPr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759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b/>
                <w:lang w:eastAsia="ar-SA"/>
              </w:rPr>
            </w:pPr>
            <w:r>
              <w:rPr>
                <w:b/>
              </w:rPr>
              <w:t xml:space="preserve">EDITEUR</w:t>
            </w:r>
            <w:r>
              <w:rPr>
                <w:b/>
                <w:lang w:eastAsia="ar-SA"/>
              </w:rPr>
            </w:r>
            <w:r/>
          </w:p>
          <w:p>
            <w:pPr>
              <w:pStyle w:val="832"/>
              <w:jc w:val="center"/>
              <w:rPr>
                <w:b/>
                <w:lang w:eastAsia="ar-SA"/>
              </w:rPr>
            </w:pPr>
            <w:r>
              <w:rPr>
                <w:b/>
              </w:rPr>
              <w:t xml:space="preserve">(collection)</w:t>
            </w:r>
            <w:r>
              <w:rPr>
                <w:b/>
                <w:lang w:eastAsia="ar-SA"/>
              </w:rPr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b/>
                <w:lang w:eastAsia="ar-SA"/>
              </w:rPr>
            </w:pPr>
            <w:r>
              <w:rPr>
                <w:b/>
              </w:rPr>
              <w:t xml:space="preserve">CODE-BARRES </w:t>
            </w:r>
            <w:r>
              <w:rPr>
                <w:b/>
                <w:lang w:eastAsia="ar-SA"/>
              </w:rPr>
            </w:r>
            <w:r/>
          </w:p>
        </w:tc>
      </w:tr>
      <w:tr>
        <w:trPr>
          <w:trHeight w:val="287"/>
        </w:trPr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44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ALLEMAND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Consulter le professeur à la rentrée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7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cantSplit/>
          <w:trHeight w:val="296" w:hRule="exact"/>
        </w:trPr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44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ANGLAIS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Consulter le professeur à la rentrée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7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cantSplit/>
          <w:trHeight w:val="556" w:hRule="exac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447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ESPAGNOL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1 dictionnaire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u w:val="single"/>
              </w:rPr>
              <w:t xml:space="preserve">bilingue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 nécessaire à l’examen : consulter le professeur à la rentrée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7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cantSplit/>
          <w:trHeight w:val="6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447" w:type="dxa"/>
            <w:vAlign w:val="center"/>
            <w:vMerge w:val="continue"/>
            <w:textDirection w:val="lrTb"/>
            <w:noWrap w:val="false"/>
          </w:tcPr>
          <w:p>
            <w:pPr>
              <w:pStyle w:val="832"/>
              <w:rPr>
                <w:color w:val="0070c0"/>
                <w:lang w:eastAsia="ar-SA"/>
              </w:rPr>
            </w:pPr>
            <w:r>
              <w:rPr>
                <w:color w:val="0070c0"/>
                <w:lang w:eastAsia="ar-SA"/>
              </w:rPr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none" w:color="FFFFFF" w:sz="255" w:space="0"/>
              <w:right w:val="none" w:color="FFFFFF" w:sz="255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none" w:color="FFFFFF" w:sz="255" w:space="0"/>
              <w:right w:val="none" w:color="FFFFFF" w:sz="255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none" w:color="FFFFFF" w:sz="255" w:space="0"/>
              <w:right w:val="none" w:color="FFFFFF" w:sz="255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none" w:color="FFFFFF" w:sz="255" w:space="0"/>
              <w:right w:val="none" w:color="FFFFFF" w:sz="255" w:space="0"/>
            </w:tcBorders>
            <w:tcW w:w="17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trHeight w:val="4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44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CULTURE ECONOMIQUE, JURIDIQUE ET MANAGERIALE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Consulter l’enseignant à la rentrée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7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rPr>
                <w:b w:val="0"/>
                <w:bCs w:val="0"/>
                <w:color w:val="000000" w:themeColor="text1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b w:val="0"/>
                <w:bCs w:val="0"/>
                <w:color w:val="000000" w:themeColor="text1"/>
              </w:rPr>
            </w:r>
            <w:r/>
          </w:p>
        </w:tc>
      </w:tr>
      <w:tr>
        <w:trPr>
          <w:trHeight w:val="96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44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OPTIMISATION DES PROCESSUS ADMINISTRATIFS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Optimisation des processus administratifs - BTS 1re et 2e année, domaine d’activité 1</w:t>
            </w:r>
            <w:r/>
          </w:p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(conserver le manuel de l’an passé)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DELALIX</w:t>
            </w:r>
            <w:r/>
          </w:p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DOUSSY</w:t>
            </w:r>
            <w:r/>
          </w:p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GAUBERT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</w:rPr>
              <w:t xml:space="preserve">2021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7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NATHAN Technique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</w:rPr>
              <w:t xml:space="preserve">972091672922</w:t>
            </w:r>
            <w:r/>
          </w:p>
        </w:tc>
      </w:tr>
      <w:tr>
        <w:trPr>
          <w:trHeight w:val="119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44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GESTION DE PROJET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SAM – Domaine d’activité 2</w:t>
            </w:r>
            <w:r/>
          </w:p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(conserver la pochette de l’an passé)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BAYLE</w:t>
            </w:r>
            <w:r/>
          </w:p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BERNABE</w:t>
            </w:r>
            <w:r/>
          </w:p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COHEN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2021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7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NATHAN Technique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9" w:type="dxa"/>
            <w:vAlign w:val="center"/>
            <w:textDirection w:val="lrTb"/>
            <w:noWrap w:val="false"/>
          </w:tcPr>
          <w:sdt>
            <w:sdtPr>
              <w15:appearance w15:val="boundingBox"/>
              <w:tag w:val="goog_rdk_5"/>
              <w:rPr/>
            </w:sdtPr>
            <w:sdtContent>
              <w:sdt>
                <w:sdtPr>
                  <w15:appearance w15:val="boundingBox"/>
                  <w:tag w:val="goog_rdk_3"/>
                  <w:rPr/>
                </w:sdtPr>
                <w:sdtContent>
                  <w:p>
                    <w:pPr>
                      <w:ind w:left="0" w:right="0" w:firstLine="0"/>
                      <w:spacing w:before="0" w:after="0"/>
                      <w:tabs>
                        <w:tab w:val="left" w:pos="1800" w:leader="none"/>
                      </w:tabs>
                      <w:rPr>
                        <w:color w:val="000000" w:themeColor="text1"/>
                        <w:sz w:val="18"/>
                        <w:szCs w:val="18"/>
                      </w:rPr>
                      <w:pBdr>
                        <w:top w:val="none" w:color="000000" w:sz="4" w:space="0"/>
                        <w:left w:val="none" w:color="000000" w:sz="4" w:space="0"/>
                        <w:bottom w:val="none" w:color="000000" w:sz="4" w:space="0"/>
                        <w:right w:val="none" w:color="000000" w:sz="4" w:space="0"/>
                      </w:pBdr>
                    </w:pPr>
                    <w:r>
                      <w:rPr>
                        <w:rFonts w:ascii="Arial" w:hAnsi="Arial" w:eastAsia="Arial" w:cs="Arial"/>
                        <w:color w:val="000000" w:themeColor="text1"/>
                        <w:sz w:val="18"/>
                        <w:szCs w:val="18"/>
                        <w:highlight w:val="white"/>
                      </w:rPr>
                      <w:t xml:space="preserve">9782091672946</w:t>
                    </w:r>
                    <w:r>
                      <w:rPr>
                        <w:color w:val="000000" w:themeColor="text1"/>
                        <w:sz w:val="18"/>
                        <w:szCs w:val="18"/>
                      </w:rPr>
                    </w:r>
                    <w:r/>
                  </w:p>
                </w:sdtContent>
              </w:sdt>
              <w:sdt>
                <w:sdtPr>
                  <w15:appearance w15:val="boundingBox"/>
                  <w:tag w:val="goog_rdk_4"/>
                  <w:rPr/>
                </w:sdtPr>
                <w:sdtContent>
                  <w:p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</w:r>
                    <w:r/>
                  </w:p>
                </w:sdtContent>
              </w:sdt>
            </w:sdtContent>
          </w:sdt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</w:tr>
      <w:tr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44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CONTRIBUTION A LA GESTION DES RH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SAM – Domaine d’activité 3</w:t>
            </w:r>
            <w:r/>
          </w:p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(conserver la pochette de l’an passé)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CARMONA</w:t>
            </w:r>
            <w:r/>
          </w:p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DELALIX</w:t>
            </w:r>
            <w:r/>
          </w:p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DOUCY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2018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7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NATHAN Technique 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9782091650432</w:t>
            </w:r>
            <w:r/>
          </w:p>
        </w:tc>
      </w:tr>
      <w:tr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44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ATELIERS DE POFESSIONNALISATION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7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trHeight w:val="4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447" w:type="dxa"/>
            <w:vAlign w:val="center"/>
            <w:textDirection w:val="lrTb"/>
            <w:noWrap w:val="false"/>
          </w:tcPr>
          <w:p>
            <w:pPr>
              <w:pStyle w:val="832"/>
              <w:tabs>
                <w:tab w:val="left" w:pos="1800" w:leader="none"/>
              </w:tabs>
            </w:pPr>
            <w:r>
              <w:t xml:space="preserve">ATELIERS DE POFESSIONNALISATION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pStyle w:val="832"/>
              <w:tabs>
                <w:tab w:val="left" w:pos="1800" w:leader="none"/>
              </w:tabs>
              <w:rPr>
                <w:iCs/>
              </w:rPr>
            </w:pPr>
            <w:r>
              <w:rPr>
                <w:iCs/>
              </w:rPr>
              <w:t xml:space="preserve">Pas de manuel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32"/>
              <w:tabs>
                <w:tab w:val="left" w:pos="1800" w:leader="none"/>
              </w:tabs>
              <w:rPr>
                <w:color w:val="0070c0"/>
                <w:lang w:eastAsia="ar-SA"/>
              </w:rPr>
            </w:pPr>
            <w:r>
              <w:rPr>
                <w:color w:val="0070c0"/>
                <w:lang w:eastAsia="ar-SA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tabs>
                <w:tab w:val="left" w:pos="1800" w:leader="none"/>
              </w:tabs>
              <w:rPr>
                <w:color w:val="0070c0"/>
                <w:lang w:eastAsia="ar-SA"/>
              </w:rPr>
            </w:pPr>
            <w:r>
              <w:rPr>
                <w:color w:val="0070c0"/>
                <w:lang w:eastAsia="ar-SA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759" w:type="dxa"/>
            <w:vAlign w:val="center"/>
            <w:textDirection w:val="lrTb"/>
            <w:noWrap w:val="false"/>
          </w:tcPr>
          <w:p>
            <w:pPr>
              <w:pStyle w:val="832"/>
              <w:tabs>
                <w:tab w:val="left" w:pos="1800" w:leader="none"/>
              </w:tabs>
              <w:rPr>
                <w:color w:val="0070c0"/>
                <w:lang w:eastAsia="ar-SA"/>
              </w:rPr>
            </w:pPr>
            <w:r>
              <w:rPr>
                <w:color w:val="0070c0"/>
                <w:lang w:eastAsia="ar-SA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pStyle w:val="832"/>
              <w:tabs>
                <w:tab w:val="left" w:pos="1800" w:leader="none"/>
              </w:tabs>
              <w:rPr>
                <w:color w:val="0070c0"/>
                <w:lang w:eastAsia="ar-SA"/>
              </w:rPr>
            </w:pPr>
            <w:r>
              <w:rPr>
                <w:color w:val="0070c0"/>
                <w:lang w:eastAsia="ar-SA"/>
              </w:rPr>
            </w:r>
            <w:r/>
          </w:p>
        </w:tc>
      </w:tr>
    </w:tbl>
    <w:p>
      <w:pPr>
        <w:pStyle w:val="832"/>
        <w:rPr>
          <w:color w:val="0070c0"/>
          <w:sz w:val="26"/>
        </w:rPr>
      </w:pPr>
      <w:r>
        <w:rPr>
          <w:color w:val="0070c0"/>
          <w:sz w:val="26"/>
        </w:rPr>
      </w:r>
      <w:r/>
    </w:p>
    <w:p>
      <w:pPr>
        <w:ind w:left="-142"/>
        <w:jc w:val="center"/>
        <w:rPr>
          <w:b/>
          <w:bCs/>
          <w:caps/>
          <w:sz w:val="22"/>
          <w:szCs w:val="22"/>
        </w:rPr>
      </w:pPr>
      <w:r>
        <w:rPr>
          <w:b/>
          <w:caps/>
          <w:sz w:val="22"/>
          <w:highlight w:val="none"/>
        </w:rPr>
      </w:r>
      <w:r>
        <w:rPr>
          <w:b/>
          <w:caps/>
          <w:sz w:val="22"/>
          <w:highlight w:val="none"/>
        </w:rPr>
      </w:r>
      <w:r/>
    </w:p>
    <w:p>
      <w:pPr>
        <w:pStyle w:val="832"/>
        <w:ind w:left="-142"/>
        <w:jc w:val="center"/>
        <w:rPr>
          <w:b/>
          <w:bCs/>
          <w:caps/>
          <w:sz w:val="22"/>
          <w:szCs w:val="22"/>
          <w:highlight w:val="none"/>
        </w:rPr>
      </w:pPr>
      <w:r>
        <w:rPr>
          <w:b/>
          <w:caps/>
          <w:sz w:val="22"/>
        </w:rPr>
        <w:t xml:space="preserve">Conservez vos preuves d’achat pour un échange possible en cas d’erreur</w:t>
      </w:r>
      <w:r/>
    </w:p>
    <w:p>
      <w:pPr>
        <w:pStyle w:val="832"/>
        <w:rPr>
          <w:sz w:val="22"/>
        </w:rPr>
      </w:pPr>
      <w:r>
        <w:rPr>
          <w:sz w:val="22"/>
        </w:rPr>
      </w:r>
      <w:r/>
    </w:p>
    <w:p>
      <w:pPr>
        <w:pStyle w:val="832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RESPECTEZ IMPERATIVEMENT LES DATES D’EDITION MENTIONNEES</w:t>
      </w:r>
      <w:r/>
    </w:p>
    <w:p>
      <w:pPr>
        <w:pStyle w:val="832"/>
        <w:ind w:left="-142"/>
        <w:jc w:val="both"/>
        <w:rPr>
          <w:b/>
          <w:sz w:val="22"/>
        </w:rPr>
      </w:pPr>
      <w:r>
        <w:rPr>
          <w:b/>
          <w:sz w:val="22"/>
        </w:rPr>
      </w:r>
      <w:r/>
    </w:p>
    <w:p>
      <w:pPr>
        <w:pStyle w:val="832"/>
        <w:rPr>
          <w:color w:val="0070c0"/>
          <w:sz w:val="26"/>
        </w:rPr>
      </w:pPr>
      <w:r>
        <w:rPr>
          <w:color w:val="0070c0"/>
          <w:sz w:val="26"/>
        </w:rPr>
      </w:r>
      <w:r/>
    </w:p>
    <w:sectPr>
      <w:footnotePr/>
      <w:endnotePr/>
      <w:type w:val="nextPage"/>
      <w:pgSz w:w="11906" w:h="16838" w:orient="portrait"/>
      <w:pgMar w:top="454" w:right="454" w:bottom="454" w:left="45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832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832"/>
        <w:ind w:left="0" w:firstLine="0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832"/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832"/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832"/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832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32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832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32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32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upperLetter"/>
      <w:isLgl w:val="false"/>
      <w:suff w:val="tab"/>
      <w:lvlText w:val="%1."/>
      <w:lvlJc w:val="left"/>
      <w:pPr>
        <w:pStyle w:val="832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32"/>
        <w:ind w:left="405" w:hanging="360"/>
        <w:tabs>
          <w:tab w:val="num" w:pos="405" w:leader="none"/>
        </w:tabs>
      </w:pPr>
      <w:rPr>
        <w:b w:val="0"/>
      </w:rPr>
    </w:lvl>
    <w:lvl w:ilvl="1">
      <w:start w:val="1"/>
      <w:numFmt w:val="decimal"/>
      <w:isLgl w:val="false"/>
      <w:suff w:val="tab"/>
      <w:lvlText w:val="%2."/>
      <w:lvlJc w:val="left"/>
      <w:pPr>
        <w:pStyle w:val="832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832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32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832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832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32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832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832"/>
        <w:ind w:left="6480" w:hanging="360"/>
        <w:tabs>
          <w:tab w:val="num" w:pos="6480" w:leader="none"/>
        </w:tabs>
      </w:pPr>
    </w:lvl>
  </w:abstractNum>
  <w:abstractNum w:abstractNumId="4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832"/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32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32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32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32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32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32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32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32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5">
    <w:multiLevelType w:val="hybridMultilevel"/>
    <w:lvl w:ilvl="0">
      <w:start w:val="2"/>
      <w:numFmt w:val="bullet"/>
      <w:isLgl w:val="false"/>
      <w:suff w:val="tab"/>
      <w:lvlText w:val="-"/>
      <w:lvlJc w:val="left"/>
      <w:pPr>
        <w:pStyle w:val="832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pStyle w:val="832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832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832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32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832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832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32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832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832"/>
        <w:ind w:left="6480" w:hanging="36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32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32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32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32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32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32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32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32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32"/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32"/>
        <w:ind w:left="720" w:hanging="360"/>
        <w:tabs>
          <w:tab w:val="num" w:pos="720" w:leader="none"/>
        </w:tabs>
      </w:pPr>
      <w:rPr>
        <w:b w:val="0"/>
        <w:strike w:val="0"/>
        <w:u w:val="none"/>
      </w:rPr>
    </w:lvl>
    <w:lvl w:ilvl="1">
      <w:start w:val="1"/>
      <w:numFmt w:val="decimal"/>
      <w:isLgl w:val="false"/>
      <w:suff w:val="tab"/>
      <w:lvlText w:val="%2."/>
      <w:lvlJc w:val="left"/>
      <w:pPr>
        <w:pStyle w:val="832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832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32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832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832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32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832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832"/>
        <w:ind w:left="6480" w:hanging="360"/>
        <w:tabs>
          <w:tab w:val="num" w:pos="6480" w:leader="none"/>
        </w:tabs>
      </w:p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</w:num>
  <w:num w:numId="6">
    <w:abstractNumId w:val="8"/>
  </w:num>
  <w:num w:numId="7">
    <w:abstractNumId w:val="1"/>
  </w:num>
  <w:num w:numId="8">
    <w:abstractNumId w:val="4"/>
  </w:num>
  <w:num w:numId="9">
    <w:abstractNumId w:val="7"/>
  </w:num>
  <w:num w:numId="10">
    <w:abstractNumId w:val="2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2"/>
    <w:next w:val="832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2"/>
    <w:next w:val="832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2"/>
    <w:next w:val="832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2"/>
    <w:next w:val="832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2"/>
    <w:next w:val="832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2"/>
    <w:next w:val="832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2"/>
    <w:next w:val="832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2"/>
    <w:next w:val="832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2"/>
    <w:next w:val="832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List Paragraph"/>
    <w:basedOn w:val="832"/>
    <w:uiPriority w:val="34"/>
    <w:qFormat/>
    <w:pPr>
      <w:contextualSpacing/>
      <w:ind w:left="720"/>
    </w:pPr>
  </w:style>
  <w:style w:type="paragraph" w:styleId="673">
    <w:name w:val="No Spacing"/>
    <w:uiPriority w:val="1"/>
    <w:qFormat/>
    <w:pPr>
      <w:spacing w:before="0" w:after="0" w:line="240" w:lineRule="auto"/>
    </w:pPr>
  </w:style>
  <w:style w:type="paragraph" w:styleId="674">
    <w:name w:val="Title"/>
    <w:basedOn w:val="832"/>
    <w:next w:val="832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link w:val="674"/>
    <w:uiPriority w:val="10"/>
    <w:rPr>
      <w:sz w:val="48"/>
      <w:szCs w:val="48"/>
    </w:rPr>
  </w:style>
  <w:style w:type="paragraph" w:styleId="676">
    <w:name w:val="Subtitle"/>
    <w:basedOn w:val="832"/>
    <w:next w:val="832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link w:val="676"/>
    <w:uiPriority w:val="11"/>
    <w:rPr>
      <w:sz w:val="24"/>
      <w:szCs w:val="24"/>
    </w:rPr>
  </w:style>
  <w:style w:type="paragraph" w:styleId="678">
    <w:name w:val="Quote"/>
    <w:basedOn w:val="832"/>
    <w:next w:val="832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32"/>
    <w:next w:val="832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paragraph" w:styleId="682">
    <w:name w:val="Header"/>
    <w:basedOn w:val="832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Header Char"/>
    <w:link w:val="682"/>
    <w:uiPriority w:val="99"/>
  </w:style>
  <w:style w:type="paragraph" w:styleId="684">
    <w:name w:val="Footer"/>
    <w:basedOn w:val="832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Footer Char"/>
    <w:link w:val="684"/>
    <w:uiPriority w:val="99"/>
  </w:style>
  <w:style w:type="paragraph" w:styleId="686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684"/>
    <w:uiPriority w:val="99"/>
  </w:style>
  <w:style w:type="table" w:styleId="68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4">
    <w:name w:val="Hyperlink"/>
    <w:uiPriority w:val="99"/>
    <w:unhideWhenUsed/>
    <w:rPr>
      <w:color w:val="0000ff" w:themeColor="hyperlink"/>
      <w:u w:val="single"/>
    </w:r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next w:val="832"/>
    <w:link w:val="832"/>
    <w:qFormat/>
    <w:rPr>
      <w:lang w:val="fr-FR" w:eastAsia="fr-FR" w:bidi="ar-SA"/>
    </w:rPr>
  </w:style>
  <w:style w:type="paragraph" w:styleId="833">
    <w:name w:val="Titre 1"/>
    <w:basedOn w:val="832"/>
    <w:next w:val="832"/>
    <w:link w:val="832"/>
    <w:qFormat/>
    <w:pPr>
      <w:jc w:val="center"/>
      <w:keepNext/>
      <w:outlineLvl w:val="0"/>
    </w:pPr>
    <w:rPr>
      <w:b/>
      <w:bCs/>
      <w:sz w:val="24"/>
      <w:szCs w:val="24"/>
    </w:rPr>
  </w:style>
  <w:style w:type="paragraph" w:styleId="834">
    <w:name w:val="Titre 2"/>
    <w:basedOn w:val="832"/>
    <w:next w:val="832"/>
    <w:link w:val="832"/>
    <w:qFormat/>
    <w:pPr>
      <w:keepNext/>
      <w:outlineLvl w:val="1"/>
    </w:pPr>
    <w:rPr>
      <w:i/>
      <w:iCs/>
      <w:sz w:val="22"/>
      <w:szCs w:val="22"/>
    </w:rPr>
  </w:style>
  <w:style w:type="paragraph" w:styleId="835">
    <w:name w:val="Titre 3"/>
    <w:basedOn w:val="832"/>
    <w:next w:val="832"/>
    <w:link w:val="832"/>
    <w:qFormat/>
    <w:pPr>
      <w:keepNext/>
      <w:outlineLvl w:val="2"/>
    </w:pPr>
    <w:rPr>
      <w:i/>
      <w:iCs/>
    </w:rPr>
  </w:style>
  <w:style w:type="paragraph" w:styleId="836">
    <w:name w:val="Titre 4"/>
    <w:basedOn w:val="832"/>
    <w:next w:val="832"/>
    <w:link w:val="832"/>
    <w:qFormat/>
    <w:pPr>
      <w:ind w:left="-709"/>
      <w:keepNext/>
      <w:outlineLvl w:val="3"/>
    </w:pPr>
    <w:rPr>
      <w:sz w:val="28"/>
      <w:szCs w:val="28"/>
    </w:rPr>
  </w:style>
  <w:style w:type="paragraph" w:styleId="837">
    <w:name w:val="Titre 5"/>
    <w:basedOn w:val="832"/>
    <w:next w:val="832"/>
    <w:link w:val="832"/>
    <w:qFormat/>
    <w:pPr>
      <w:keepNext/>
      <w:outlineLvl w:val="4"/>
    </w:pPr>
    <w:rPr>
      <w:rFonts w:ascii="Arial" w:hAnsi="Arial" w:cs="Arial"/>
      <w:b/>
      <w:bCs/>
    </w:rPr>
  </w:style>
  <w:style w:type="paragraph" w:styleId="838">
    <w:name w:val="Titre 6"/>
    <w:basedOn w:val="832"/>
    <w:next w:val="832"/>
    <w:link w:val="832"/>
    <w:qFormat/>
    <w:pPr>
      <w:keepNext/>
      <w:outlineLvl w:val="5"/>
    </w:pPr>
    <w:rPr>
      <w:i/>
      <w:iCs/>
    </w:rPr>
  </w:style>
  <w:style w:type="paragraph" w:styleId="839">
    <w:name w:val="Titre 7"/>
    <w:basedOn w:val="832"/>
    <w:next w:val="832"/>
    <w:link w:val="850"/>
    <w:semiHidden/>
    <w:unhideWhenUsed/>
    <w:qFormat/>
    <w:pPr>
      <w:spacing w:before="240" w:after="60"/>
      <w:outlineLvl w:val="6"/>
    </w:pPr>
    <w:rPr>
      <w:rFonts w:ascii="Calibri" w:hAnsi="Calibri" w:eastAsia="Times New Roman" w:cs="Times New Roman"/>
      <w:sz w:val="24"/>
      <w:szCs w:val="24"/>
    </w:rPr>
  </w:style>
  <w:style w:type="paragraph" w:styleId="840">
    <w:name w:val="Titre 8"/>
    <w:basedOn w:val="832"/>
    <w:next w:val="832"/>
    <w:link w:val="832"/>
    <w:qFormat/>
    <w:pPr>
      <w:jc w:val="center"/>
      <w:keepNext/>
      <w:outlineLvl w:val="7"/>
    </w:pPr>
    <w:rPr>
      <w:b/>
      <w:bCs/>
      <w:color w:val="ff0000"/>
      <w:sz w:val="26"/>
      <w:szCs w:val="26"/>
    </w:rPr>
  </w:style>
  <w:style w:type="character" w:styleId="841">
    <w:name w:val="Police par défaut"/>
    <w:next w:val="841"/>
    <w:link w:val="832"/>
    <w:semiHidden/>
  </w:style>
  <w:style w:type="table" w:styleId="842">
    <w:name w:val="Tableau Normal"/>
    <w:next w:val="842"/>
    <w:link w:val="832"/>
    <w:semiHidden/>
    <w:tblPr/>
  </w:style>
  <w:style w:type="numbering" w:styleId="843">
    <w:name w:val="Aucune liste"/>
    <w:next w:val="843"/>
    <w:link w:val="832"/>
    <w:semiHidden/>
  </w:style>
  <w:style w:type="paragraph" w:styleId="844">
    <w:name w:val="Corps de texte 2"/>
    <w:basedOn w:val="832"/>
    <w:next w:val="844"/>
    <w:link w:val="832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5">
    <w:name w:val="Retrait corps de texte"/>
    <w:basedOn w:val="832"/>
    <w:next w:val="845"/>
    <w:link w:val="832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6">
    <w:name w:val="Corps de texte"/>
    <w:basedOn w:val="832"/>
    <w:next w:val="846"/>
    <w:link w:val="832"/>
    <w:rPr>
      <w:i/>
      <w:iCs/>
      <w:sz w:val="22"/>
      <w:szCs w:val="22"/>
    </w:rPr>
  </w:style>
  <w:style w:type="character" w:styleId="847">
    <w:name w:val="tx12noir1"/>
    <w:next w:val="847"/>
    <w:link w:val="832"/>
    <w:rPr>
      <w:rFonts w:ascii="Arial" w:hAnsi="Arial" w:cs="Arial"/>
      <w:color w:val="000000"/>
      <w:sz w:val="24"/>
      <w:szCs w:val="24"/>
      <w:shd w:val="clear" w:color="auto" w:fill="ffffff"/>
    </w:rPr>
  </w:style>
  <w:style w:type="character" w:styleId="848">
    <w:name w:val="Élevé"/>
    <w:next w:val="848"/>
    <w:link w:val="832"/>
    <w:qFormat/>
    <w:rPr>
      <w:b/>
      <w:bCs/>
    </w:rPr>
  </w:style>
  <w:style w:type="character" w:styleId="849">
    <w:name w:val="xbigtxt1"/>
    <w:next w:val="849"/>
    <w:link w:val="832"/>
    <w:rPr>
      <w:sz w:val="35"/>
      <w:szCs w:val="35"/>
    </w:rPr>
  </w:style>
  <w:style w:type="character" w:styleId="850">
    <w:name w:val="Titre 7 Car"/>
    <w:next w:val="850"/>
    <w:link w:val="839"/>
    <w:semiHidden/>
    <w:rPr>
      <w:rFonts w:ascii="Calibri" w:hAnsi="Calibri" w:eastAsia="Times New Roman" w:cs="Times New Roman"/>
      <w:sz w:val="24"/>
      <w:szCs w:val="24"/>
    </w:rPr>
  </w:style>
  <w:style w:type="character" w:styleId="851" w:default="1">
    <w:name w:val="Default Paragraph Font"/>
    <w:uiPriority w:val="1"/>
    <w:semiHidden/>
    <w:unhideWhenUsed/>
  </w:style>
  <w:style w:type="numbering" w:styleId="852" w:default="1">
    <w:name w:val="No List"/>
    <w:uiPriority w:val="99"/>
    <w:semiHidden/>
    <w:unhideWhenUsed/>
  </w:style>
  <w:style w:type="table" w:styleId="85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RECTORAT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 </dc:title>
  <dc:creator>RECTORAT</dc:creator>
  <cp:lastModifiedBy>gbignon</cp:lastModifiedBy>
  <cp:revision>259</cp:revision>
  <dcterms:created xsi:type="dcterms:W3CDTF">2005-06-14T14:45:00Z</dcterms:created>
  <dcterms:modified xsi:type="dcterms:W3CDTF">2026-06-16T09:56:57Z</dcterms:modified>
  <cp:version>1048576</cp:version>
</cp:coreProperties>
</file>